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EC" w:rsidRDefault="00DF77EC" w:rsidP="00DF77EC">
      <w:pPr>
        <w:rPr>
          <w:rFonts w:ascii="Book Antiqua" w:hAnsi="Book Antiqua"/>
          <w:sz w:val="22"/>
          <w:szCs w:val="22"/>
          <w:lang w:val="el-GR"/>
        </w:rPr>
      </w:pPr>
      <w:r>
        <w:rPr>
          <w:rFonts w:ascii="Verdana" w:hAnsi="Verdana" w:cs="Arial"/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443865" cy="4572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7EC" w:rsidRPr="0054597D" w:rsidRDefault="00DF77EC" w:rsidP="00DF77EC">
      <w:pPr>
        <w:rPr>
          <w:rFonts w:ascii="Verdana" w:hAnsi="Verdana"/>
          <w:sz w:val="22"/>
          <w:szCs w:val="22"/>
          <w:lang w:val="el-GR"/>
        </w:rPr>
      </w:pPr>
      <w:r w:rsidRPr="0054597D">
        <w:rPr>
          <w:rFonts w:ascii="Verdana" w:hAnsi="Verdana"/>
          <w:sz w:val="22"/>
          <w:szCs w:val="22"/>
          <w:lang w:val="el-GR"/>
        </w:rPr>
        <w:t xml:space="preserve">ΕΛΛΗΝΙΚΗ ΔΗΜΟΚΡΑΤΙΑ </w:t>
      </w:r>
    </w:p>
    <w:p w:rsidR="00DF77EC" w:rsidRPr="00DF77EC" w:rsidRDefault="00DF77EC" w:rsidP="00DF77EC">
      <w:pPr>
        <w:rPr>
          <w:rFonts w:ascii="Book Antiqua" w:hAnsi="Book Antiqua"/>
          <w:sz w:val="22"/>
          <w:szCs w:val="22"/>
          <w:lang w:val="el-GR"/>
        </w:rPr>
      </w:pPr>
      <w:smartTag w:uri="urn:schemas-microsoft-com:office:smarttags" w:element="PersonName">
        <w:smartTagPr>
          <w:attr w:name="ProductID" w:val="ΔΗΜΟΣ ΧΙΟΥ"/>
        </w:smartTagPr>
        <w:r w:rsidRPr="0054597D">
          <w:rPr>
            <w:rFonts w:ascii="Verdana" w:hAnsi="Verdana"/>
            <w:sz w:val="22"/>
            <w:szCs w:val="22"/>
            <w:lang w:val="el-GR"/>
          </w:rPr>
          <w:t>ΔΗΜΟΣ ΧΙΟΥ</w:t>
        </w:r>
      </w:smartTag>
      <w:r w:rsidRPr="0054597D">
        <w:rPr>
          <w:rFonts w:ascii="Verdana" w:hAnsi="Verdana"/>
          <w:sz w:val="22"/>
          <w:szCs w:val="22"/>
          <w:lang w:val="el-GR"/>
        </w:rPr>
        <w:t xml:space="preserve">                                                </w:t>
      </w:r>
      <w:r w:rsidRPr="0054597D"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 xml:space="preserve">  </w:t>
      </w:r>
      <w:r>
        <w:rPr>
          <w:rFonts w:ascii="Book Antiqua" w:hAnsi="Book Antiqua"/>
          <w:sz w:val="22"/>
          <w:szCs w:val="22"/>
          <w:lang w:val="el-GR"/>
        </w:rPr>
        <w:t>ΠΡΟΜΗΘΕΙΑ</w:t>
      </w:r>
      <w:r w:rsidRPr="00DF77EC">
        <w:rPr>
          <w:rFonts w:ascii="Book Antiqua" w:hAnsi="Book Antiqua"/>
          <w:sz w:val="22"/>
          <w:szCs w:val="22"/>
          <w:lang w:val="el-GR"/>
        </w:rPr>
        <w:t xml:space="preserve"> </w:t>
      </w:r>
    </w:p>
    <w:p w:rsidR="00DF77EC" w:rsidRPr="0054597D" w:rsidRDefault="00DF77EC" w:rsidP="00DF77EC">
      <w:pPr>
        <w:rPr>
          <w:rFonts w:ascii="Verdana" w:hAnsi="Verdana"/>
          <w:sz w:val="22"/>
          <w:szCs w:val="22"/>
          <w:lang w:val="el-GR"/>
        </w:rPr>
      </w:pPr>
      <w:r w:rsidRPr="00DF77EC">
        <w:rPr>
          <w:rFonts w:ascii="Book Antiqua" w:hAnsi="Book Antiqua"/>
          <w:sz w:val="22"/>
          <w:szCs w:val="22"/>
          <w:lang w:val="el-GR"/>
        </w:rPr>
        <w:t xml:space="preserve">                                                                                                           </w:t>
      </w:r>
      <w:r>
        <w:rPr>
          <w:rFonts w:ascii="Book Antiqua" w:hAnsi="Book Antiqua"/>
          <w:sz w:val="22"/>
          <w:szCs w:val="22"/>
          <w:lang w:val="el-GR"/>
        </w:rPr>
        <w:t xml:space="preserve">ΧΡΩΜΑΤΩΝ ΚΑΙ  </w:t>
      </w:r>
    </w:p>
    <w:p w:rsidR="00DF77EC" w:rsidRPr="00DF77EC" w:rsidRDefault="00DF77EC" w:rsidP="00DF77EC">
      <w:pPr>
        <w:rPr>
          <w:rFonts w:ascii="Verdana" w:hAnsi="Verdana"/>
          <w:sz w:val="22"/>
          <w:szCs w:val="22"/>
          <w:lang w:val="el-GR"/>
        </w:rPr>
      </w:pPr>
      <w:r w:rsidRPr="0054597D">
        <w:rPr>
          <w:rFonts w:ascii="Verdana" w:hAnsi="Verdana"/>
          <w:sz w:val="22"/>
          <w:szCs w:val="22"/>
          <w:lang w:val="el-GR"/>
        </w:rPr>
        <w:t xml:space="preserve">Δ/ΝΣΗ ΚΑΘΑΡΙΟΤΗΤΑΣ                              </w:t>
      </w:r>
      <w:r w:rsidRPr="0054597D">
        <w:rPr>
          <w:rFonts w:ascii="Verdana" w:hAnsi="Verdana"/>
          <w:sz w:val="22"/>
          <w:szCs w:val="22"/>
          <w:lang w:val="el-GR"/>
        </w:rPr>
        <w:tab/>
      </w:r>
      <w:r w:rsidRPr="0054597D">
        <w:rPr>
          <w:rFonts w:ascii="Verdana" w:hAnsi="Verdana"/>
          <w:sz w:val="22"/>
          <w:szCs w:val="22"/>
          <w:lang w:val="el-GR"/>
        </w:rPr>
        <w:tab/>
      </w:r>
      <w:r>
        <w:rPr>
          <w:rFonts w:ascii="Verdana" w:hAnsi="Verdana"/>
          <w:sz w:val="22"/>
          <w:szCs w:val="22"/>
          <w:lang w:val="el-GR"/>
        </w:rPr>
        <w:t xml:space="preserve">  ΕΡΓΑΛΕΙΩΝ ΒΑΦΗΣ</w:t>
      </w:r>
    </w:p>
    <w:p w:rsidR="00DF77EC" w:rsidRPr="0054597D" w:rsidRDefault="00DF77EC" w:rsidP="00DF77EC">
      <w:pPr>
        <w:rPr>
          <w:rFonts w:ascii="Verdana" w:hAnsi="Verdana"/>
          <w:sz w:val="22"/>
          <w:szCs w:val="22"/>
          <w:lang w:val="el-GR"/>
        </w:rPr>
      </w:pPr>
      <w:r w:rsidRPr="0054597D">
        <w:rPr>
          <w:rFonts w:ascii="Verdana" w:hAnsi="Verdana"/>
          <w:sz w:val="22"/>
          <w:szCs w:val="22"/>
          <w:lang w:val="el-GR"/>
        </w:rPr>
        <w:t>ΚΑΙ ΑΝΑΚΥΚΛΩΣΗΣ</w:t>
      </w:r>
    </w:p>
    <w:p w:rsidR="00DF77EC" w:rsidRDefault="00DF77EC" w:rsidP="00DF77EC">
      <w:pPr>
        <w:rPr>
          <w:rFonts w:ascii="Verdana" w:hAnsi="Verdana"/>
          <w:sz w:val="22"/>
          <w:szCs w:val="22"/>
          <w:lang w:val="el-GR"/>
        </w:rPr>
      </w:pPr>
    </w:p>
    <w:p w:rsidR="00DF77EC" w:rsidRPr="0054597D" w:rsidRDefault="00DF77EC" w:rsidP="00DF77EC">
      <w:pPr>
        <w:rPr>
          <w:rFonts w:ascii="Verdana" w:hAnsi="Verdana"/>
          <w:sz w:val="22"/>
          <w:szCs w:val="22"/>
          <w:lang w:val="el-GR"/>
        </w:rPr>
      </w:pPr>
    </w:p>
    <w:p w:rsidR="00DF77EC" w:rsidRDefault="00DF77EC" w:rsidP="00DF77EC">
      <w:pPr>
        <w:jc w:val="center"/>
        <w:rPr>
          <w:rFonts w:ascii="Verdana" w:hAnsi="Verdana"/>
          <w:b/>
          <w:sz w:val="22"/>
          <w:szCs w:val="22"/>
          <w:u w:val="single"/>
          <w:lang w:val="el-GR"/>
        </w:rPr>
      </w:pPr>
      <w:r>
        <w:rPr>
          <w:rFonts w:ascii="Verdana" w:hAnsi="Verdana"/>
          <w:b/>
          <w:sz w:val="22"/>
          <w:szCs w:val="22"/>
          <w:u w:val="single"/>
          <w:lang w:val="el-GR"/>
        </w:rPr>
        <w:t>ΠΡΟΣΦΟΡΑ</w:t>
      </w:r>
    </w:p>
    <w:p w:rsidR="00DF77EC" w:rsidRPr="0054597D" w:rsidRDefault="00DF77EC" w:rsidP="00DF77EC">
      <w:pPr>
        <w:jc w:val="center"/>
        <w:rPr>
          <w:rFonts w:ascii="Verdana" w:hAnsi="Verdana"/>
          <w:b/>
          <w:sz w:val="22"/>
          <w:szCs w:val="22"/>
          <w:u w:val="single"/>
          <w:lang w:val="el-GR"/>
        </w:rPr>
      </w:pPr>
    </w:p>
    <w:p w:rsidR="00DF77EC" w:rsidRDefault="00DF77EC" w:rsidP="00DF77EC">
      <w:pPr>
        <w:jc w:val="center"/>
        <w:rPr>
          <w:b/>
          <w:sz w:val="22"/>
          <w:szCs w:val="22"/>
          <w:u w:val="single"/>
          <w:lang w:val="el-GR"/>
        </w:rPr>
      </w:pPr>
    </w:p>
    <w:tbl>
      <w:tblPr>
        <w:tblW w:w="9960" w:type="dxa"/>
        <w:tblInd w:w="-785" w:type="dxa"/>
        <w:tblLook w:val="04A0"/>
      </w:tblPr>
      <w:tblGrid>
        <w:gridCol w:w="587"/>
        <w:gridCol w:w="4751"/>
        <w:gridCol w:w="1192"/>
        <w:gridCol w:w="1192"/>
        <w:gridCol w:w="1061"/>
        <w:gridCol w:w="1177"/>
      </w:tblGrid>
      <w:tr w:rsidR="00AF625C" w:rsidRPr="00E44631" w:rsidTr="00DF77EC">
        <w:trPr>
          <w:trHeight w:val="9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Α/Α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b/>
                <w:bCs/>
                <w:lang w:val="el-GR" w:eastAsia="el-GR"/>
              </w:rPr>
            </w:pP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ΠΕΡΙΓΡΑΦΗ ΕΙΔΟΥΣ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</w:pPr>
            <w:r w:rsidRPr="00456F83"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  <w:t>Ποσότητα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</w:pPr>
            <w:r w:rsidRPr="00456F83"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  <w:t>Μονάδα μέτρησης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</w:pPr>
            <w:r w:rsidRPr="00E44631"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  <w:t>Τιμή μονάδος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</w:pPr>
            <w:r w:rsidRPr="00E44631">
              <w:rPr>
                <w:rFonts w:ascii="Verdana" w:hAnsi="Verdana" w:cs="Arial"/>
                <w:b/>
                <w:bCs/>
                <w:sz w:val="18"/>
                <w:szCs w:val="18"/>
                <w:lang w:val="el-GR" w:eastAsia="el-GR"/>
              </w:rPr>
              <w:t>Μερικό σύνολο</w:t>
            </w:r>
          </w:p>
        </w:tc>
      </w:tr>
      <w:tr w:rsidR="00AF625C" w:rsidRPr="00E44631" w:rsidTr="00DF77EC">
        <w:trPr>
          <w:trHeight w:val="147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Βερνικόχρωμα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μετάλλου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αλκυδικής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βάσεως σε συσκευασίες έως 2.5lt σε απόχρωση που θα καθοριστεί από την υπηρεσία (κυρίως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λευκό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),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ενδεικτικού τύπου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vivemetal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Βιβεχρωμ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mobilac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Χρωτέχ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duko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201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Αντισκωριακό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αστάρι (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Μίνιο)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: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Αλκυδικό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υπόστρωμα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διαλύτου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με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αντισκωριακά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πιγμέντα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για εσωτερική και εξωτερική χρήση, κατάλληλο για επιφάνειες σιδήρου και χάλυβα. Να συνίσταται δε ως υπόστρωμα και σε ξύλινες επιφάνειες, ειδικά αυτές που είναι εκτεθειμένες στην ύπαιθρο.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Minio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Professional 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105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Σκληρυντής</w:t>
            </w:r>
            <w:proofErr w:type="spellEnd"/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βερνικοχρώματα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σε συσκευασίες έως 2.5lt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hardado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Χρωτέχ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vivehard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Βιβεχρώμ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meta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extra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81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Αστάρι μετάλλων 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σε συσκευασία 750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 γκρι ή λευκού χρώματος ενδεικτικού τύπου αστάρι μετάλλων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Βιβεχρωμ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metal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primer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127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Βερνικόχρωμα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μετάλλου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αλκυδικής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βάσεως σε συσκευασίες έως 2.5lt σε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κίτρινη ώχρα (σκούρο) 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απόχρωση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ενδεικτικού τύπου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vivemetal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Βιβεχρωμ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mobilac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Χρωτέχ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duko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141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Βερνικόχρωμα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μετάλλου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αλκυδικής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βάσεως σε συσκευασίες έως 2.5lt σε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μαύρο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χρώμα απόχρωση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ενδεικτικού τύπου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vivemetal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Βιβεχρωμ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mobilac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Χρωτέχ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duko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16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lastRenderedPageBreak/>
              <w:t>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Βερνικόχρωμα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μετάλλου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αλκυδικής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βάσεως σε συσκευασίες έως 2.5lt σε απόχρωση που θα καθοριστεί από την υπηρεσία κυρίως </w:t>
            </w:r>
            <w:r w:rsidRPr="00456F83">
              <w:rPr>
                <w:rFonts w:ascii="Verdana" w:hAnsi="Verdana" w:cs="Arial"/>
                <w:b/>
                <w:bCs/>
                <w:sz w:val="22"/>
                <w:szCs w:val="22"/>
                <w:lang w:val="el-GR" w:eastAsia="el-GR"/>
              </w:rPr>
              <w:t>πράσινου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(</w:t>
            </w:r>
            <w:r w:rsidRPr="00456F83">
              <w:rPr>
                <w:rFonts w:ascii="Verdana" w:hAnsi="Verdana" w:cs="Arial"/>
                <w:i/>
                <w:iCs/>
                <w:sz w:val="22"/>
                <w:szCs w:val="22"/>
                <w:lang w:val="el-GR" w:eastAsia="el-GR"/>
              </w:rPr>
              <w:t xml:space="preserve">απόχρωση </w:t>
            </w:r>
            <w:proofErr w:type="spellStart"/>
            <w:r w:rsidRPr="00456F83">
              <w:rPr>
                <w:rFonts w:ascii="Verdana" w:hAnsi="Verdana" w:cs="Arial"/>
                <w:i/>
                <w:iCs/>
                <w:sz w:val="22"/>
                <w:szCs w:val="22"/>
                <w:lang w:val="el-GR" w:eastAsia="el-GR"/>
              </w:rPr>
              <w:t>κυπαρισσί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) </w:t>
            </w:r>
            <w:r w:rsidRPr="00456F83">
              <w:rPr>
                <w:rFonts w:ascii="Verdana" w:hAnsi="Verdana" w:cs="Arial"/>
                <w:sz w:val="22"/>
                <w:szCs w:val="22"/>
                <w:lang w:val="el-GR" w:eastAsia="el-GR"/>
              </w:rPr>
              <w:t xml:space="preserve">&amp; </w:t>
            </w:r>
            <w:r w:rsidRPr="00456F83">
              <w:rPr>
                <w:rFonts w:ascii="Verdana" w:hAnsi="Verdana" w:cs="Arial"/>
                <w:b/>
                <w:bCs/>
                <w:sz w:val="22"/>
                <w:szCs w:val="22"/>
                <w:lang w:val="el-GR" w:eastAsia="el-GR"/>
              </w:rPr>
              <w:t>καφέ σκούρο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lang w:val="el-GR" w:eastAsia="el-GR"/>
              </w:rPr>
              <w:t>(</w:t>
            </w:r>
            <w:r w:rsidRPr="00456F83">
              <w:rPr>
                <w:rFonts w:ascii="Verdana" w:hAnsi="Verdana" w:cs="Arial"/>
                <w:i/>
                <w:iCs/>
                <w:sz w:val="22"/>
                <w:szCs w:val="22"/>
                <w:lang w:val="el-GR" w:eastAsia="el-GR"/>
              </w:rPr>
              <w:t>απόχρωση σοκολατί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),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vivemetal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Βιβεχρωμ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mobilac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Χρωτέχ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hard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duko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της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Kraft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8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Διαλυτικό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white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spirit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(νέφτι) για καθαρισμό εργαλείων και αραίωση χρωμάτων σε συσκευασία 1lt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8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b/>
                <w:bCs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Διαλυτικό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νίτρου 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νιτροκυτταρινούχα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προϊόντα και  καθαρισμό εργαλείων σε συσκευασία 750ml . Ενδεικτικού τύπου BERLING NC1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Πινέλο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ημίδιπλο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τρίχα  1 σειρά 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proofErr w:type="spellStart"/>
            <w:r>
              <w:rPr>
                <w:rFonts w:ascii="Verdana" w:hAnsi="Verdana" w:cs="Arial"/>
                <w:lang w:val="en-US" w:eastAsia="el-GR"/>
              </w:rPr>
              <w:t>1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Πινέλο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ημίδιπλο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τρίχα 1,5 σειρά 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Πινέλο διπλό μαύρη τρίχα Νο1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Πινέλο διπλό μαύρη τρίχα Νο2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4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Πινέλο διπλό μαύρη τρίχα 3''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79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Ανταλλακτικό ρολό βαφής Ø35*50 χιλιοστά με πολυεστερικό αφρό υψηλής πυκνότητας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79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Ανταλλακτικό ρολό βαφής Ø35*70 χιλιοστά με πολυεστερικό αφρό υψηλής πυκνότητας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78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Ανταλλακτικό ρολό βαφής Ø38*110 χιλιοστά με πολυεστερικό αφρό υψηλής πυκνότητας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6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1</w:t>
            </w:r>
            <w:r>
              <w:rPr>
                <w:rFonts w:ascii="Verdana" w:hAnsi="Verdana" w:cs="Arial"/>
                <w:lang w:val="en-US" w:eastAsia="el-GR"/>
              </w:rPr>
              <w:t>8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Σιδηρόστοκος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σε συσκευασία  1kgr (στην συσκευασία να περιέχεται το στεγνωτικό)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kgr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6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19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Πολυεστερικός στόκος σπάτουλας με ίνες γυαλιού   σε συσκευασία 800gr. Ενδεικτικού τύπου MERCOLA  MULTIFILLER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kgr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6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Σκάφη βαφής για ρολά 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εως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14cm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 Σκάφη βαφής για ρολά 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εως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18cm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proofErr w:type="spellStart"/>
            <w:r>
              <w:rPr>
                <w:rFonts w:ascii="Verdana" w:hAnsi="Verdana" w:cs="Arial"/>
                <w:lang w:val="en-US" w:eastAsia="el-GR"/>
              </w:rPr>
              <w:t>2</w:t>
            </w:r>
            <w:proofErr w:type="spellEnd"/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Πολυεστέρας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υαλοϋφασμα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σε συσκευασία 1 m2 (τετραγωνικού μέτρου). Ενδεικτικού τύπου MERCOLA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m2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Υγρός πολυεστέρας 2 συστατικών 750ml με καταλύτη 50gr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lit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Κίτρινη χαρτοταινία με χαρτί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washi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ακρυλική κόλλα πλάτους 38 χιλιοστών 50 μέτρα. Ενδεικτικού τύπου 3Μ 244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scotch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AF625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Κίτρινη χαρτοταινία με χαρτί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washi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ακρυλική κόλλα πλάτους 25 χιλιοστών 50 μέτρα. Ενδεικτικού τύπου 3Μ 244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scotch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AF625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lastRenderedPageBreak/>
              <w:t>2</w:t>
            </w:r>
            <w:r>
              <w:rPr>
                <w:rFonts w:ascii="Verdana" w:hAnsi="Verdana" w:cs="Arial"/>
                <w:lang w:val="en-US" w:eastAsia="el-GR"/>
              </w:rPr>
              <w:t>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Γυαλιά προστασίας 2 φακών από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πολυανθρακικό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πλαστικό ανθεκτικό στις γρατζουνιές καμπύλης 8, ρυθμιζόμενου μήκος σκελετού και χαμηλή ενεργειακή πρόσκρουση (45 m/s).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Climax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597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AF625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2</w:t>
            </w:r>
            <w:r>
              <w:rPr>
                <w:rFonts w:ascii="Verdana" w:hAnsi="Verdana" w:cs="Arial"/>
                <w:lang w:val="en-US" w:eastAsia="el-GR"/>
              </w:rPr>
              <w:t>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Δίσκοι λείανσης Φ125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28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Δίσκοι λείανσης φτερωτός με πτερύγια, Φ125 κόκκος Νο60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29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Δίσκοι λείανσης φτερωτός με πτερύγια, Φ125 κόκκος Νο36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30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Σπάτουλα - στοκαδόρος με ξύλινη λαβή  πλάτους 40mm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ΣΕΤ σπάτουλες ανοξείδωτες  50-120mm (6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>) Ενδεικτικός τύπος TOPEX 18B436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ΣΕΤ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ντουκοσπάτουλες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πλαστικές 50 -120mm (4τμχ)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Καμπυλωτή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Συρματόβουρτσα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χειρός,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ανοξέιδοτη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με πλαστική λαβή.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l-GR" w:eastAsia="el-GR"/>
              </w:rPr>
              <w:t>3</w:t>
            </w:r>
            <w:r>
              <w:rPr>
                <w:rFonts w:ascii="Verdana" w:hAnsi="Verdana" w:cs="Arial"/>
                <w:lang w:val="en-US" w:eastAsia="el-GR"/>
              </w:rPr>
              <w:t>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 xml:space="preserve">Αναδευτήρας χρωμάτων 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δράπανα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Ø120 μήκος 590 χιλιοστά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Stanley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35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Αρμόκολλα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υβριδική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στεγανωτική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- σφραγιστική βαφόμενη συσκευασία 300ml . Ενδεικτικού τύπου 3Μ 760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3</w:t>
            </w:r>
            <w:r>
              <w:rPr>
                <w:rFonts w:ascii="Verdana" w:hAnsi="Verdana" w:cs="Arial"/>
                <w:lang w:val="en-US" w:eastAsia="el-GR"/>
              </w:rPr>
              <w:t>6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Γυαλόχρτα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δίσκοι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velcro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ξηράς τριβή 150mm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κόκκωσης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P60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κατάλληλο 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φανοποιία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τρίψιμο σε υψηλές ταχύτητες.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Smirdex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9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3</w:t>
            </w:r>
            <w:r>
              <w:rPr>
                <w:rFonts w:ascii="Verdana" w:hAnsi="Verdana" w:cs="Arial"/>
                <w:lang w:val="en-US" w:eastAsia="el-GR"/>
              </w:rPr>
              <w:t>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Γυαλόχρτα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δίσκοι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velcro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ξηράς τριβή 150mm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κόκκωσης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 xml:space="preserve">P80 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κατάλληλο 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φανοποιία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τρίψιμο σε υψηλές ταχύτητες.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Smirdex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4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3</w:t>
            </w:r>
            <w:r>
              <w:rPr>
                <w:rFonts w:ascii="Verdana" w:hAnsi="Verdana" w:cs="Arial"/>
                <w:lang w:val="en-US" w:eastAsia="el-GR"/>
              </w:rPr>
              <w:t>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Γυαλόχρτα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δίσκοι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velcro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ξηράς τριβή 150mm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κόκκωσης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P100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κατάλληλο 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φανοποιία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τρίψιμο σε υψηλές ταχύτητες.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Smirdex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6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39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Γυαλόχρτα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δίσκοι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velcro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λευκή ξηράς τριβή 150mm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κόκκωσης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P240</w:t>
            </w:r>
            <w:r w:rsidRPr="00456F83">
              <w:rPr>
                <w:rFonts w:ascii="Verdana" w:hAnsi="Verdana" w:cs="Arial"/>
                <w:lang w:val="el-GR" w:eastAsia="el-GR"/>
              </w:rPr>
              <w:t xml:space="preserve"> κατάλληλο για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φανοποιία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και τρίψιμο σε υψηλές ταχύτητες. Ενδεικτικού τύπου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Smirdex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AF625C" w:rsidRPr="00E44631" w:rsidTr="00DF77EC">
        <w:trPr>
          <w:trHeight w:val="6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AF625C" w:rsidRDefault="00AF625C" w:rsidP="00692773">
            <w:pPr>
              <w:jc w:val="center"/>
              <w:rPr>
                <w:rFonts w:ascii="Verdana" w:hAnsi="Verdana" w:cs="Arial"/>
                <w:lang w:val="en-US" w:eastAsia="el-GR"/>
              </w:rPr>
            </w:pPr>
            <w:r>
              <w:rPr>
                <w:rFonts w:ascii="Verdana" w:hAnsi="Verdana" w:cs="Arial"/>
                <w:lang w:val="en-US" w:eastAsia="el-GR"/>
              </w:rPr>
              <w:t>40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Αντισκωριακό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υπόστρωμα - αστάρι (2 συστατικών) για πρόσφυση σε γυαλιστερές επιφάνειες όπως αλουμίνιο, </w:t>
            </w:r>
            <w:proofErr w:type="spellStart"/>
            <w:r w:rsidRPr="00456F83">
              <w:rPr>
                <w:rFonts w:ascii="Verdana" w:hAnsi="Verdana" w:cs="Arial"/>
                <w:b/>
                <w:bCs/>
                <w:lang w:val="el-GR" w:eastAsia="el-GR"/>
              </w:rPr>
              <w:t>γαλβανιζέ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, λαμαρίνες, πολυεστέρα και ανοξείδωτα μέταλλα. Συσκευασία 660 &amp; 160ml. Ενδεικτικού τύπου VITEX 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Wash</w:t>
            </w:r>
            <w:proofErr w:type="spellEnd"/>
            <w:r w:rsidRPr="00456F83">
              <w:rPr>
                <w:rFonts w:ascii="Verdana" w:hAnsi="Verdana" w:cs="Arial"/>
                <w:lang w:val="el-GR" w:eastAsia="el-GR"/>
              </w:rPr>
              <w:t xml:space="preserve"> </w:t>
            </w: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Primer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456F83">
              <w:rPr>
                <w:rFonts w:ascii="Verdana" w:hAnsi="Verdana" w:cs="Arial"/>
                <w:lang w:val="el-GR" w:eastAsia="el-GR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456F83" w:rsidRDefault="00AF625C" w:rsidP="00245365">
            <w:pPr>
              <w:jc w:val="center"/>
              <w:rPr>
                <w:rFonts w:ascii="Verdana" w:hAnsi="Verdana" w:cs="Arial"/>
                <w:lang w:val="el-GR" w:eastAsia="el-GR"/>
              </w:rPr>
            </w:pPr>
            <w:proofErr w:type="spellStart"/>
            <w:r w:rsidRPr="00456F83">
              <w:rPr>
                <w:rFonts w:ascii="Verdana" w:hAnsi="Verdana" w:cs="Arial"/>
                <w:lang w:val="el-GR" w:eastAsia="el-GR"/>
              </w:rPr>
              <w:t>τμχ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25C" w:rsidRPr="00E44631" w:rsidRDefault="00AF625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DF77EC" w:rsidRPr="00E44631" w:rsidTr="00DF77EC">
        <w:trPr>
          <w:trHeight w:val="6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E44631">
              <w:rPr>
                <w:rFonts w:ascii="Verdana" w:hAnsi="Verdana" w:cs="Arial"/>
                <w:sz w:val="18"/>
                <w:szCs w:val="18"/>
                <w:lang w:val="el-GR" w:eastAsia="el-GR"/>
              </w:rPr>
              <w:t>ΣΥΝΟΛΟ ΠΡΟ ΦΠΑ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sz w:val="22"/>
                <w:szCs w:val="22"/>
                <w:lang w:val="el-GR" w:eastAsia="el-GR"/>
              </w:rPr>
            </w:pPr>
          </w:p>
        </w:tc>
      </w:tr>
      <w:tr w:rsidR="00DF77EC" w:rsidRPr="00E44631" w:rsidTr="00DF77EC">
        <w:trPr>
          <w:trHeight w:val="58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E44631">
              <w:rPr>
                <w:rFonts w:ascii="Verdana" w:hAnsi="Verdana" w:cs="Arial"/>
                <w:sz w:val="18"/>
                <w:szCs w:val="18"/>
                <w:lang w:val="el-GR" w:eastAsia="el-GR"/>
              </w:rPr>
              <w:t>ΦΠΑ 17%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  <w:tr w:rsidR="00DF77EC" w:rsidRPr="00E44631" w:rsidTr="00DF77EC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  <w:r w:rsidRPr="00E44631">
              <w:rPr>
                <w:rFonts w:ascii="Verdana" w:hAnsi="Verdana" w:cs="Arial"/>
                <w:lang w:val="el-GR" w:eastAsia="el-G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E44631">
              <w:rPr>
                <w:rFonts w:ascii="Verdana" w:hAnsi="Verdana" w:cs="Arial"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EC" w:rsidRPr="00E44631" w:rsidRDefault="00DF77EC" w:rsidP="00692773">
            <w:pPr>
              <w:jc w:val="center"/>
              <w:rPr>
                <w:rFonts w:ascii="Verdana" w:hAnsi="Verdana" w:cs="Arial"/>
                <w:lang w:val="el-GR" w:eastAsia="el-GR"/>
              </w:rPr>
            </w:pPr>
          </w:p>
        </w:tc>
      </w:tr>
    </w:tbl>
    <w:p w:rsidR="00DF77EC" w:rsidRDefault="00DF77EC" w:rsidP="00DF77EC">
      <w:pPr>
        <w:jc w:val="center"/>
        <w:rPr>
          <w:b/>
          <w:sz w:val="22"/>
          <w:szCs w:val="22"/>
          <w:u w:val="single"/>
          <w:lang w:val="el-GR"/>
        </w:rPr>
      </w:pPr>
    </w:p>
    <w:p w:rsidR="00DF77EC" w:rsidRDefault="00DF77EC" w:rsidP="00DF77EC">
      <w:pPr>
        <w:jc w:val="center"/>
        <w:rPr>
          <w:b/>
          <w:sz w:val="22"/>
          <w:szCs w:val="22"/>
          <w:u w:val="single"/>
          <w:lang w:val="el-GR"/>
        </w:rPr>
      </w:pPr>
    </w:p>
    <w:p w:rsidR="00DF77EC" w:rsidRDefault="00DF77EC" w:rsidP="00DF77EC">
      <w:pPr>
        <w:jc w:val="center"/>
        <w:rPr>
          <w:rFonts w:ascii="Book Antiqua" w:hAnsi="Book Antiqua"/>
          <w:sz w:val="22"/>
          <w:szCs w:val="22"/>
          <w:lang w:val="en-US"/>
        </w:rPr>
      </w:pPr>
    </w:p>
    <w:p w:rsidR="00DF77EC" w:rsidRPr="00AF625C" w:rsidRDefault="00DF77EC" w:rsidP="00DF77EC">
      <w:pPr>
        <w:jc w:val="center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l-GR"/>
        </w:rPr>
        <w:t>Χίος       /0</w:t>
      </w:r>
      <w:r w:rsidR="00AF625C">
        <w:rPr>
          <w:rFonts w:ascii="Verdana" w:hAnsi="Verdana"/>
          <w:sz w:val="22"/>
          <w:szCs w:val="22"/>
          <w:lang w:val="en-US"/>
        </w:rPr>
        <w:t>2</w:t>
      </w:r>
      <w:r w:rsidRPr="00B33CE2">
        <w:rPr>
          <w:rFonts w:ascii="Verdana" w:hAnsi="Verdana"/>
          <w:sz w:val="22"/>
          <w:szCs w:val="22"/>
          <w:lang w:val="el-GR"/>
        </w:rPr>
        <w:t>/201</w:t>
      </w:r>
      <w:r w:rsidR="00AF625C">
        <w:rPr>
          <w:rFonts w:ascii="Verdana" w:hAnsi="Verdana"/>
          <w:sz w:val="22"/>
          <w:szCs w:val="22"/>
          <w:lang w:val="en-US"/>
        </w:rPr>
        <w:t>9</w:t>
      </w:r>
    </w:p>
    <w:p w:rsidR="00DF77EC" w:rsidRDefault="00DF77EC" w:rsidP="00DF77EC">
      <w:pPr>
        <w:jc w:val="center"/>
        <w:rPr>
          <w:rFonts w:ascii="Verdana" w:hAnsi="Verdana"/>
          <w:sz w:val="22"/>
          <w:szCs w:val="22"/>
          <w:lang w:val="el-GR"/>
        </w:rPr>
      </w:pPr>
    </w:p>
    <w:p w:rsidR="00DF77EC" w:rsidRDefault="00DF77EC" w:rsidP="00DF77EC">
      <w:pPr>
        <w:jc w:val="center"/>
        <w:rPr>
          <w:rFonts w:ascii="Verdana" w:hAnsi="Verdana"/>
          <w:sz w:val="22"/>
          <w:szCs w:val="22"/>
          <w:lang w:val="el-GR"/>
        </w:rPr>
      </w:pPr>
    </w:p>
    <w:p w:rsidR="00DF77EC" w:rsidRPr="00B33CE2" w:rsidRDefault="00DF77EC" w:rsidP="00DF77EC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Ο ΠΡΟΣΦΕΡΩΝ  </w:t>
      </w:r>
    </w:p>
    <w:p w:rsidR="00313FA5" w:rsidRDefault="00313FA5"/>
    <w:sectPr w:rsidR="00313FA5" w:rsidSect="00313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77EC"/>
    <w:rsid w:val="002663D7"/>
    <w:rsid w:val="00313FA5"/>
    <w:rsid w:val="00380665"/>
    <w:rsid w:val="00AF625C"/>
    <w:rsid w:val="00DF77EC"/>
    <w:rsid w:val="00E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77E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7EC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814</Words>
  <Characters>4396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m_kontos</dc:creator>
  <cp:keywords/>
  <dc:description/>
  <cp:lastModifiedBy>m_kontos</cp:lastModifiedBy>
  <cp:revision>4</cp:revision>
  <dcterms:created xsi:type="dcterms:W3CDTF">2018-06-26T09:00:00Z</dcterms:created>
  <dcterms:modified xsi:type="dcterms:W3CDTF">2019-02-14T07:18:00Z</dcterms:modified>
</cp:coreProperties>
</file>