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A4792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E57061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</w:t>
            </w:r>
            <w:r w:rsidR="00A47925" w:rsidRPr="00A47925">
              <w:rPr>
                <w:rFonts w:ascii="Arial" w:hAnsi="Arial" w:cs="Arial"/>
                <w:b/>
                <w:sz w:val="18"/>
                <w:szCs w:val="18"/>
              </w:rPr>
              <w:t>των όρων της από 13/8/2021 Μελέτης για την «Παροχή υπηρεσιών ιατρού εργασίας 2021-2022»,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047D76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τους</w:t>
            </w:r>
            <w:r w:rsidRPr="001611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60B1" w:rsidRPr="001611D1">
              <w:rPr>
                <w:rFonts w:ascii="Arial" w:hAnsi="Arial" w:cs="Arial"/>
                <w:b/>
                <w:sz w:val="18"/>
                <w:szCs w:val="18"/>
              </w:rPr>
              <w:t>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A47925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12</TotalTime>
  <Pages>1</Pages>
  <Words>215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6</cp:revision>
  <cp:lastPrinted>2021-03-31T08:09:00Z</cp:lastPrinted>
  <dcterms:created xsi:type="dcterms:W3CDTF">2021-01-25T09:17:00Z</dcterms:created>
  <dcterms:modified xsi:type="dcterms:W3CDTF">2021-08-18T09:56:00Z</dcterms:modified>
</cp:coreProperties>
</file>